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IPOPEMA Dłużny SFIO w czołówce polskich funduszy dłużnych papierów skarbowych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Fundusze z ekspozycją na polski dług są jednymi z najlepiej radzących sobie w tym roku. W sytuacji nagłych zawirowań na rynkach finansowych, z jakimi mieliśmy do czynienia od początku roku, polska gospodarka, a więc i rynek długu, wyglądają obiecująco – solidny wzrost gospodarczy, utrzymujące się niskie stopy procentowe. Stąd bardzo dobre wyniki funduszu IPOPEMA Dłużny SFIO, który od początku roku zyskał 2,09%, a w czerwcu okazał się liderem rynku z pozytywnym wynikiem 0,74%.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– Na bardzo dobry wynik w minionym miesiącu złożyły się w głównej mierze inwestycje w krajowe obligacje skarbowe o średnim i długim terminie do wykupu oraz inwestycje w obligacje zmiennokuponowe i indeksowane inflacją. Globalne ryzyka nie miały znaczącego wpływu na krajowy rynek papierów skarbowych, co pomogło w uzyskaniu wysokich wyników inwestycyjnych</w:t>
      </w:r>
      <w:r>
        <w:rPr>
          <w:rFonts w:ascii="calibri" w:hAnsi="calibri" w:eastAsia="calibri" w:cs="calibri"/>
          <w:sz w:val="24"/>
          <w:szCs w:val="24"/>
        </w:rPr>
        <w:t xml:space="preserve"> – potwierdza Mariusz Zaród, zarządzający funduszem.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IPOPEMA Dłużny SFIO inwestuje głównie w Polsce, okazjonalnie w portfelu znajdują się papiery z państw Europy Środkowo-Wschodniej, jak np. Węgier, Turcji czy Rumunii. Historycznie jednak udział zagranicy nie był zbyt wysoki, a zarządzający wybierał wyłącznie papiery denominowane w twardej walucie, zabezpieczając jednocześnie ryzyko walutowe.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Stopy zwrotu IPOPEMA Dłużny SFIO od początku działalności należą do najwyższych w grupie porównawczej. Choć fundusz działa od 3 lat – do tej pory niezmiennie plasuje się w czołówce. Przez okres 36 miesięcy dał zarobić inwestorom ponad 13%. Pozytywne perspektywy potwierdza zarządzający: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perspektywie najbliższych miesięcy pozostajemy pozytywnie nastawieni na polski rynek długu. Sprzyjać temu powinna ograniczona podaż obligacji skarbowych oraz inflacja utrzymująca się stale poniżej celu NBP i to w szczycie cyklu koniunkturalnego. Polski dług wspiera bardzo dobra sytuacja budżetowa, a pierwsze podwyżki stóp procentowych możemy zobaczyć dopiero w 2020 r. Sprzyjające czynniki lokalne sprawiają, iż polski dług pozostaje relatywnie odporny na globalne czynniki ryzyka</w:t>
      </w:r>
      <w:r>
        <w:rPr>
          <w:rFonts w:ascii="calibri" w:hAnsi="calibri" w:eastAsia="calibri" w:cs="calibri"/>
          <w:sz w:val="24"/>
          <w:szCs w:val="24"/>
        </w:rPr>
        <w:t xml:space="preserve"> – mówi Mariusz Zaród.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2024-04-25T11:58:40+02:00</dcterms:created>
  <dcterms:modified xsi:type="dcterms:W3CDTF">2024-04-25T11:58:40+02:00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