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bankowości. Jak zapewnić bezpieczną i zgodną migrację do chmury?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banki przenoszą dane i obciążenia do chmury, muszą upewnić się, że zasoby i dane w chmurze są zabezpieczone i zgodne z przepisami, takimi jak te wydane np. Przez Europejskie Stowarzyszenie Bankowe (EBA). Jednak nowoczesne wdrożenia chmurowe są niezwykle złożone i zazwyczaj obejmują wiele infrastruktur chmurowych. Mimo że dostawcy chmury publicznej inwestują znaczne wysiłki w bezpieczeństwo, to bank nadal jest odpowiedzialny za zapewnienie cyberbezpieczeństwa organizacji.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Poniższy artykuł przedstawia prawdziwe studium przypadku dużego banku, ukazujące wyzwania z jakimi się mierzył oraz rozwiązania, które wykorzystał, aby wzmocnić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krajobraz cyberzagrożeń wciąż ewoluuje i staje się z roku na rok coraz bardziej niebezpieczny, ochrona infrastruktury informatycznej banku będzie stawać się coraz większym wyzwaniem.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Osiągnięcie tego celu wiąże się z wieloma wyzwaniami,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 bezpieczeństwem </w:t>
      </w:r>
      <w:r>
        <w:rPr>
          <w:rFonts w:ascii="calibri" w:hAnsi="calibri" w:eastAsia="calibri" w:cs="calibri"/>
          <w:sz w:val="24"/>
          <w:szCs w:val="24"/>
        </w:rPr>
        <w:t xml:space="preserve">w chmurach i lokalnym centrum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korygowanie </w:t>
      </w:r>
      <w:r>
        <w:rPr>
          <w:rFonts w:ascii="calibri" w:hAnsi="calibri" w:eastAsia="calibri" w:cs="calibri"/>
          <w:sz w:val="24"/>
          <w:szCs w:val="24"/>
          <w:b/>
        </w:rPr>
        <w:t xml:space="preserve">błędnych konfiguracji </w:t>
      </w:r>
      <w:r>
        <w:rPr>
          <w:rFonts w:ascii="calibri" w:hAnsi="calibri" w:eastAsia="calibri" w:cs="calibri"/>
          <w:sz w:val="24"/>
          <w:szCs w:val="24"/>
        </w:rPr>
        <w:t xml:space="preserve">w czasie rzeczywistym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i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Spełnianie rygorystycznych przepisów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</w:t>
      </w:r>
      <w:r>
        <w:rPr>
          <w:rFonts w:ascii="calibri" w:hAnsi="calibri" w:eastAsia="calibri" w:cs="calibri"/>
          <w:sz w:val="24"/>
          <w:szCs w:val="24"/>
        </w:rPr>
        <w:t xml:space="preserve">i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południowoafrykańskich banków z tysiącami oddziałów, </w:t>
      </w:r>
      <w:r>
        <w:rPr>
          <w:rFonts w:ascii="calibri" w:hAnsi="calibri" w:eastAsia="calibri" w:cs="calibri"/>
          <w:sz w:val="24"/>
          <w:szCs w:val="24"/>
        </w:rPr>
        <w:t xml:space="preserve">rozszerza swoją chmurę Azure i AWS o ujednolicone rozwiązanie bezpieczeństwa natywne dla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Głównymi wyzwaniami </w:t>
      </w:r>
      <w:r>
        <w:rPr>
          <w:rFonts w:ascii="calibri" w:hAnsi="calibri" w:eastAsia="calibri" w:cs="calibri"/>
          <w:sz w:val="24"/>
          <w:szCs w:val="24"/>
        </w:rPr>
        <w:t xml:space="preserve">banku są: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</w:t>
      </w:r>
      <w:r>
        <w:rPr>
          <w:rFonts w:ascii="calibri" w:hAnsi="calibri" w:eastAsia="calibri" w:cs="calibri"/>
          <w:sz w:val="24"/>
          <w:szCs w:val="24"/>
        </w:rPr>
        <w:t xml:space="preserve">i kontrola bezpieczeństwa z jednego miejsca, integracja z innymi systemami, łatwe tworzenie reguł i profili, skalowalność i konsolidacja.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wybrał obejmuje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Network Security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Check Point umożliwiający bezpieczną migrację ku chmurze, zapewniający bezpieczeństwo sieciowe i zapobieganie zagrożeniom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Security Posture Management firmy Check Point w </w:t>
        </w:r>
      </w:hyperlink>
      <w:r>
        <w:rPr>
          <w:rFonts w:ascii="calibri" w:hAnsi="calibri" w:eastAsia="calibri" w:cs="calibri"/>
          <w:sz w:val="24"/>
          <w:szCs w:val="24"/>
        </w:rPr>
        <w:t xml:space="preserve">celu zapewnienia zgodności chmury z przepisami. Bank zautomatyzował przepływy pracy związane z zarządzaniem środowiskiem wielochmurowym,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otrzymał jedno rozwiązanie bezpieczeństwa natywnego dla chmury </w:t>
      </w:r>
      <w:r>
        <w:rPr>
          <w:rFonts w:ascii="calibri" w:hAnsi="calibri" w:eastAsia="calibri" w:cs="calibri"/>
          <w:sz w:val="24"/>
          <w:szCs w:val="24"/>
        </w:rPr>
        <w:t xml:space="preserve">z pojedynczym zarządzaniem, obsługą wielu chmur (Azure, AWS, NSX…) oraz ujednoliconym zarządzaniem zabezpieczeniami i kontrolą stanu. Korzysta ze zautomatyzowanej zgodności </w:t>
      </w: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praktyk, </w:t>
      </w:r>
      <w:r>
        <w:rPr>
          <w:rFonts w:ascii="calibri" w:hAnsi="calibri" w:eastAsia="calibri" w:cs="calibri"/>
          <w:sz w:val="24"/>
          <w:szCs w:val="24"/>
        </w:rPr>
        <w:t xml:space="preserve">w tym egzekwowania bankowych ram zgodności, takich jak PCI DSS, NIST CSF/800-53 itp., wykrywania błędnych konfiguracji i egzekwowania zasad. Rozwiązanie zapewnia szybkie wyniki zgodności i alerty dzienników, a jego „builder” języka specyfikacji zarządzania (GSL) jest znacznie łatwiejszy w użyciu niż inne narzędzia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w czasie rzeczywistym, </w:t>
      </w:r>
      <w:r>
        <w:rPr>
          <w:rFonts w:ascii="calibri" w:hAnsi="calibri" w:eastAsia="calibri" w:cs="calibri"/>
          <w:sz w:val="24"/>
          <w:szCs w:val="24"/>
        </w:rPr>
        <w:t xml:space="preserve">w tym emulację zagrożeń, ekstrakcję zagrożeń, zero-day, antywirus,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antybot</w:t>
      </w:r>
      <w:r>
        <w:rPr>
          <w:rFonts w:ascii="calibri" w:hAnsi="calibri" w:eastAsia="calibri" w:cs="calibri"/>
          <w:sz w:val="24"/>
          <w:szCs w:val="24"/>
        </w:rPr>
        <w:t xml:space="preserve">, filtrowanie adresów URL, DLP, antyspam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wydajność i niższe koszty dzięki </w:t>
      </w:r>
      <w:r>
        <w:rPr>
          <w:rFonts w:ascii="calibri" w:hAnsi="calibri" w:eastAsia="calibri" w:cs="calibri"/>
          <w:sz w:val="24"/>
          <w:szCs w:val="24"/>
        </w:rPr>
        <w:t xml:space="preserve">niskim opóźnieniom dla aplikacji biznesowych, zarządzaniu i kontroli z jednego centralnego miejsca, łatwemu tworzeniu reguł i profili, łatwej integracji z innymi systemami. Całkowity koszt posiadania okazał się o 50% niższy niż w przypadku innych rozwiązań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umożliwia bankom dostarczanie klientom zaawansowanych usług cyfrowych z najwyższym poziomem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skonsolidowane podejście do bezpieczeństwa z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architekturą i usługami Check Point Infinity</w:t>
      </w:r>
      <w:r>
        <w:rPr>
          <w:rFonts w:ascii="calibri" w:hAnsi="calibri" w:eastAsia="calibri" w:cs="calibri"/>
          <w:sz w:val="24"/>
          <w:szCs w:val="24"/>
        </w:rPr>
        <w:t xml:space="preserve">, banki realizują prewencyjną ochronę przed zaawansowanymi atakami piątej generacji, osiągając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50% wzrost wydajności operacyjnej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20% redukcję kosztów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szeroka oferta rozwiązań i usług w zakresie cyberbezpieczeństwa firmy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6500 instytucjom finansowym na całym świecie sprostanie ich największym wyzwaniom.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ews.biuroprasowe.pl/word/?hash=172aa197725846fcdb5b848f4aaa0470&amp;id=189225&amp;typ=epr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2026-05-23T17:01:11+02:00</dcterms:created>
  <dcterms:modified xsi:type="dcterms:W3CDTF">2026-05-23T17:01:11+02:00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