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na celowniku hakerów: Emotet głównym zagrożeniem dla polskich organizacji.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nastąpił drastyczny wzrost zagrożeń ze strony cyberprzestępców lokując Polskę dopiero na niskim - 20 miejscu europejskiego rankingu bezpieczeństwa. Głównym zagrożeniem zarówno dla sieci firmowych, jak i użytkowników indywidualnych były kampanie spamowe ze złośliwymi załącznikami, przeprowadzane za pomocą botnetu Emotet - donoszą specjaliści ds. cyberbezpieczeństwa firmy Check Point.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Dania, Finlandia i Luksemburg to obecnie trzy najbezpieczniejsze sieci w Europie. Na przeciwległym krańcu rankingu znajdują się z kolei Macedonia oraz Gruzja, które są najniebezpieczniejszymi miejscami dla internautów nie tylko w skali Europy, ale również wśród najbardziej niebezpiecznych na świecie!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ekspertów Check Point Research, wrzesień był dla polskiej sieci miesiącem zintensyfikowanych ataków, głównie za pośrednictwem kampanii spamowych. W rezultacie nasz kraj zajął dopiero 20 miejsce w zestawieniu, uzyskując indeks zagrożeń na poziomie 40,6 punktu. W klasyfikacji europejskiej wyprzedziły nas m.in. Słowenia (35,4), Słowacja (39,1) czy Francja (40,2), natomiast w skali świata również Bangladesz i Kambodża! Za naszymi plecami ulokowały się min. Serbia (41,8), Cypr (41,9) czy Węgry (42,7).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Emotet powrócił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Botnet Emotet na dobre wznowił działalność po trzymiesięcznej przerwie, która nastąpiła w czerwcu br. i natychmiast wskoczył na pierwsze miejsce w Polsce i piątą pozycję światowej listy najbardziej rozpowszechnionych typów złośliwego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ds. bezpieczeństwa, po analizach aktywności cyberprzestępców, już w sierpniu zapowiadali ofensywę hakerską z wykorzystaniem tego narzędzia. Nowe kampanie spamowe dokonywane za pomocą Emotetu rozsyłały </w:t>
      </w:r>
      <w:r>
        <w:rPr>
          <w:rFonts w:ascii="calibri" w:hAnsi="calibri" w:eastAsia="calibri" w:cs="calibri"/>
          <w:sz w:val="24"/>
          <w:szCs w:val="24"/>
        </w:rPr>
        <w:t xml:space="preserve">wiadomości e-mail zawierające link do pobrania złośliwego pliku Word, a inne zawierały sam szkodliwy dokument. Po otwarciu pliku ofiary przekonywane były by włączyć makra dokumentu, które następnie instalowały złośliwe oprogramowanie.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Czołowy malware i podatności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miesiącu Jsecoin jest liderem na liście najpopularniejszych szkodliwych programów, wpływając na 8% organizacji na całym świecie. XMRig jest drugim najpopularniejszym złośliwym oprogramowaniem, a za nim znajduje się AgentTesla, oba o globalnym wpływie 7%.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Jsecoin</w:t>
      </w:r>
      <w:r>
        <w:rPr>
          <w:rFonts w:ascii="calibri" w:hAnsi="calibri" w:eastAsia="calibri" w:cs="calibri"/>
          <w:sz w:val="24"/>
          <w:szCs w:val="24"/>
        </w:rPr>
        <w:t xml:space="preserve"> – cryptominer JavaScript, który może być osadzony na stronach internetowych. JSEcoin może uruchomić koparkę bezpośrednio w przeglądarce.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XMRig </w:t>
      </w:r>
      <w:r>
        <w:rPr>
          <w:rFonts w:ascii="calibri" w:hAnsi="calibri" w:eastAsia="calibri" w:cs="calibri"/>
          <w:sz w:val="24"/>
          <w:szCs w:val="24"/>
        </w:rPr>
        <w:t xml:space="preserve">- cryptominer, który dzięki pracy bezpośrednio na urządzeniu końcowym, a nie na samej przeglądarce internetowej jest w stanie wykopywać kryptowalutę Monero bez potrzeby sesji aktywnej przeglądarki internetowej na komputerze ofiary. Wykryty po raz pierwszy w maju 2017 roku.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Agentesla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zaawansowany trojan zdalnego dostępu (RAT), funkcjonujący jako keylogger I złodziej haseł. Jest w stanie monitorować i zbierać dane z klawiatury ofiary, schowka systemowego, robić zrzuty ekranu i wyciągania poświadczeń należących do różnych programów zainstalowanych na urządzeniu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najczęściej wykorzystywanym malware (11,38%) był wspomniany Emotet, co potwierdzają działy IT polskich firm, donoszące o lawinowym wzroście ilości otrzymywanego spamu. Na drugim miejscu znalazł się cryptominer Jsecoin (10,69%), natomiast podium zamknął Agenttesla (9,31%)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podatności najczęściej wykorzystywana była MVPower DVR Remote Code Execution, wykorzystywana w przypadku 37% zaatakowanych organizacji. </w:t>
      </w:r>
      <w:r>
        <w:rPr>
          <w:rFonts w:ascii="calibri" w:hAnsi="calibri" w:eastAsia="calibri" w:cs="calibri"/>
          <w:sz w:val="24"/>
          <w:szCs w:val="24"/>
        </w:rPr>
        <w:t xml:space="preserve">Drugą była luka w zabezpieczeniach systemów Linux - </w:t>
      </w:r>
      <w:r>
        <w:rPr>
          <w:rFonts w:ascii="calibri" w:hAnsi="calibri" w:eastAsia="calibri" w:cs="calibri"/>
          <w:sz w:val="24"/>
          <w:szCs w:val="24"/>
        </w:rPr>
        <w:t xml:space="preserve">The Linux System Files Information Disclosure – razem z Web Server Exposed Git Repository Information Disclosure, które dotyczyły po 35% przedsiębiorstw. Kolejne miejsce zajęło popularne SQL Injection.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2026-06-08T23:36:28+02:00</dcterms:created>
  <dcterms:modified xsi:type="dcterms:W3CDTF">2026-06-08T23:36:28+02:00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