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zakazie handlu najwięcej zyskały stacje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Zdecydowanym wygranym zakazu handlu są stacje paliw, wynika z raportu Nielsena*. W 2018 roku sprzedaż produktów FMCG na stacjach benzynowych wzrosła aż o 23,8%, prawie dwukrotnie więcej niż w przypadku sklepów średnioformatowych. Tymczasem małe sklepy spożywcze, które miały być po części beneficjentem ustawy odnotowały spadek sprzedaży o 0,4%. O konsekwencjach ustawy w przegłosowanej przez Rząd formie alarmowała Polska Grupa Supermarketów już na początku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Poprawki wprowadzone przez Sejm i Senat do obywatelskiej ustawy dotyczącej zakazu handlu w niedziele mogą doprowadzić do skupienia się niedzielnego handlu wokół stacji paliw oraz dworców komunikacyjnych</w:t>
      </w:r>
      <w:r>
        <w:rPr>
          <w:rFonts w:ascii="calibri" w:hAnsi="calibri" w:eastAsia="calibri" w:cs="calibri"/>
          <w:sz w:val="24"/>
          <w:szCs w:val="24"/>
        </w:rPr>
        <w:t xml:space="preserve"> – apelował Michał Sadecki, prezes Polskiej Grupy Supermarketów, po wdrożeniu zmodyfikowanej wersji ustawy o ograniczeniu handlu w niedzielę. Przedstawione niedawno przez Nielsena i BIG InfoMonitor dane*, potwierdzają te przewidywania.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przeciętny wzrost sprzedaży produktów FMCG wynosił 4,8%. W tym czasie sprzedaż w dyskontach wzrosła o 7,4%, natomiast w sklepach średniej wielkości dwuipółkrotnie względem średniej rynkowej. Największym beneficjentem zmian były jednak stacje benzynowe. 23,8% wzrostu rok do roku to ponad pięciokrotnie wyższy wynik niż średnia.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przeciwległym biegunie znalazły się hipermarkety (-1,1%), których oferta z roku na rok cieszy się coraz mniejszym zainteresowaniem klientów oraz małe sklepy spożywcze (-0,4), które pierwotnie miały zyskać na zmianach legislacyjnych.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Havas Media, Polacy czują dezorientację w związku z „wolnymi niedzielami” – 37% osób nie jest pewna lub nie wie w które niedziele miesiąca można dokonać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*Badania Nielsen opublikowane w dniu 19.03.2019 na łamach dziennika Rzeczpospolita (Rp.pl)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2025-11-05T21:13:27+01:00</dcterms:created>
  <dcterms:modified xsi:type="dcterms:W3CDTF">2025-11-05T21:13:27+01:00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