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Invista SA wśród spółek w indeksie Investor MS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Invista SA znalazła się wśród 10 spółek rekomendowanych w ramach indeksu Investor MS. Przeprowadzona 08.04.2022 rewizja kwartalna portfela indeksu Investor MS, wprowadziła do indeksu walory spółek z Głównego Rynku GPW, które spełniają kryteria indeksu.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Invista SA wzbudziła zainteresowanie rynku w grudniu 2021 roku, po tym jak ogłosiła realizację strategii opartej na 3 filarach: rynku nieruchomości, wykorzystaniu potencjału rynku energetyki i elektromobilności w Polsce i inwestycjach w nowe technologie.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Obecność w gronie 10 nowych spółek indeksu Investor MS to bardzo ważny sygnał i zobowiązanie dla naszej firmy, która w 2022 roku konsekwentnie realizuje założenia nowej strategii </w:t>
      </w:r>
      <w:r>
        <w:rPr>
          <w:rFonts w:ascii="calibri" w:hAnsi="calibri" w:eastAsia="calibri" w:cs="calibri"/>
          <w:sz w:val="24"/>
          <w:szCs w:val="24"/>
        </w:rPr>
        <w:t xml:space="preserve">– podkreśla Michał Gabrylewicz, prezes Insita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Teraz spółka została zauważona i zaliczona do grona 10 nowych podmiotów w ramach rewizji kwartalnej indeksu Investor MS. Obok Invista SA znalazły się AtlantaPL, Biomaxima, Brand24, Groclin, K2Holding, MostalPLC, Spyrosoft, STSHolding, Talex. Jednocześnie indeks opuściły spółki: Airway, Gameops, HMInwest, INC, KSGargo.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GPW Benchmark poinformował, że w ramach indeksu ograniczone zostały udziały spółek KETY oraz KRUK do 5 proc., a liczba spółek w portfelu indeksu będzie wynosić 254.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Wskaźnik Investor MS to dawny indeks DWS MS, który mierzy zachowanie kursów akcji małych i średnich spółek. Mechanizm jego działania został opracowany na początku marca 2003 roku wspólnie przez warszawską giełdę i ówczesne Towarzystwo Funduszy DWS Polska (obecnie Investors TFI). Zmiana nazwy indeksu nastąpiła w marcu 2011 roku. Obecnie podstawą do obliczania tego wskaźnika są papiery małych i średnich firm z obszaru inwestycji funduszu Investor Top 25 Małych Spółek FIO.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Skład indeksu jest weryfikowany w zależności od liczby papierów spółek w wolnym obrocie (tzw. free float), ale także kondycji i perspektyw rozwoju poszczególnych firm.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PAP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iznes.pap.pl/pl/news/all/info/3261840,gpw-benchmark:-communique---investor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2026-11-06T21:46:28+01:00</dcterms:created>
  <dcterms:modified xsi:type="dcterms:W3CDTF">2026-11-06T21:46:28+01:00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