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Invista SA wśród spółek w indeksie Investor 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Invista SA znalazła się wśród 10 spółek rekomendowanych w ramach indeksu Investor MS. Przeprowadzona 08.04.2022 rewizja kwartalna portfela indeksu Investor MS, wprowadziła do indeksu walory spółek z Głównego Rynku GPW, które spełniają kryteria indeksu.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Invista SA wzbudziła zainteresowanie rynku w grudniu 2021 roku, po tym jak ogłosiła realizację strategii opartej na 3 filarach: rynku nieruchomości, wykorzystaniu potencjału rynku energetyki i elektromobilności w Polsce i inwestycjach w nowe technologie.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Obecność w gronie 10 nowych spółek indeksu Investor MS to bardzo ważny sygnał i zobowiązanie dla naszej firmy, która w 2022 roku konsekwentnie realizuje założenia nowej strategii </w:t>
      </w:r>
      <w:r>
        <w:rPr>
          <w:rFonts w:ascii="calibri" w:hAnsi="calibri" w:eastAsia="calibri" w:cs="calibri"/>
          <w:sz w:val="24"/>
          <w:szCs w:val="24"/>
        </w:rPr>
        <w:t xml:space="preserve">– podkreśla Michał Gabrylewicz, prezes Insita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spółka została zauważona i zaliczona do grona 10 nowych podmiotów w ramach rewizji kwartalnej indeksu Investor MS. Obok Invista SA znalazły się AtlantaPL, Biomaxima, Brand24, Groclin, K2Holding, MostalPLC, Spyrosoft, STSHolding, Talex. Jednocześnie indeks opuściły spółki: Airway, Gameops, HMInwest, INC, KSGargo.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GPW Benchmark poinformował, że w ramach indeksu ograniczone zostały udziały spółek KETY oraz KRUK do 5 proc., a liczba spółek w portfelu indeksu będzie wynosić 254.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Investor MS to dawny indeks DWS MS, który mierzy zachowanie kursów akcji małych i średnich spółek. Mechanizm jego działania został opracowany na początku marca 2003 roku wspólnie przez warszawską giełdę i ówczesne Towarzystwo Funduszy DWS Polska (obecnie Investors TFI). Zmiana nazwy indeksu nastąpiła w marcu 2011 roku. Obecnie podstawą do obliczania tego wskaźnika są papiery małych i średnich firm z obszaru inwestycji funduszu Investor Top 25 Małych Spółek FIO.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Skład indeksu jest weryfikowany w zależności od liczby papierów spółek w wolnym obrocie (tzw. free float), ale także kondycji i perspektyw rozwoju poszczególnych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.pap.pl/pl/news/all/info/3261840,gpw-benchmark:-communique---invest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2026-03-21T01:20:34+01:00</dcterms:created>
  <dcterms:modified xsi:type="dcterms:W3CDTF">2026-03-21T01:20:34+01:00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