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Galerii Kupiecka w Otwocku zapełnia się najemcami. Wśród nich Vistula, CCC, Media Expert oraz Martes Sport.</w:t>
      </w:r>
    </w:p>
    <w:p>
      <w:pPr>
        <w:spacing w:before="0" w:after="500" w:line="264" w:lineRule="auto"/>
      </w:pPr>
      <w:r>
        <w:rPr>
          <w:rFonts w:ascii="calibri" w:hAnsi="calibri" w:eastAsia="calibri" w:cs="calibri"/>
          <w:sz w:val="36"/>
          <w:szCs w:val="36"/>
          <w:b/>
        </w:rPr>
        <w:t xml:space="preserve">Galeria Kupiecka, będąca największą prywatną inwestycją w Otwocku zapełnia się najemcami. Prace inwestora postępują zgodnie z planem a termin otwarcia to listopad 2019 roku. Na powierzchni handlowej ponad 10 tys. mkw. pojawią się m.in. sklepy Media Expert, CCC, Top Market czy Martes Sport, Vistula oraz centrum zabaw dla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Inwestycja, będąca największym centrum handlowym, spełniającym standardy jedynego budynku handlowego klasy A w Otwocku, otwiera się na kolejnych najemców. W trzecim kwartale 2018 roku inwestor potwierdził podpisanie umowy najmu z siecią Top Market (z flagowym sklepem o powierzchni 1200 mkw.), Media Expert (700 mkw.) oraz Rossmanem.</w:t>
      </w:r>
    </w:p>
    <w:p>
      <w:pPr>
        <w:spacing w:before="0" w:after="300"/>
      </w:pPr>
    </w:p>
    <w:p>
      <w:pPr>
        <w:spacing w:before="0" w:after="300"/>
      </w:pPr>
      <w:r>
        <w:rPr>
          <w:rFonts w:ascii="calibri" w:hAnsi="calibri" w:eastAsia="calibri" w:cs="calibri"/>
          <w:sz w:val="24"/>
          <w:szCs w:val="24"/>
        </w:rPr>
        <w:t xml:space="preserve">W tym roku do grona najemców dołączyły kolejne znane marki. Sukcesem zakończyły się negocjacje z CCC, największym i najpopularniejszym dystrybutorem obuwia w Polsce, z ponad 20-procentowym udziałem w rynku. Inwestor Galerii Kupieckiej – spółka WOT Invest – potwierdził również podpisanie umów z Martes Sport, siecią sklepów sportowych oraz Vistula Group, która uruchomi w Galerii sklepy Vistula i Wólczanka, oferujące elegancką modę męską oraz koszule.</w:t>
      </w:r>
    </w:p>
    <w:p>
      <w:pPr>
        <w:spacing w:before="0" w:after="300"/>
      </w:pPr>
      <w:r>
        <w:rPr>
          <w:rFonts w:ascii="calibri" w:hAnsi="calibri" w:eastAsia="calibri" w:cs="calibri"/>
          <w:sz w:val="24"/>
          <w:szCs w:val="24"/>
        </w:rPr>
        <w:t xml:space="preserve">Jak twierdzi inwestor, chętnych na komercjalizację powierzchni w nowej galerii nie brakuje. Dziś już wiadomo, że poza wymienionymi wcześniej markami, swoje miejsce w galerii znajdzie również biuro podróży, kantor, bawialnia dla dzieci oraz mniejsze butiki odzieżowe.</w:t>
      </w:r>
    </w:p>
    <w:p>
      <w:pPr>
        <w:spacing w:before="0" w:after="300"/>
      </w:pPr>
      <w:r>
        <w:rPr>
          <w:rFonts w:ascii="calibri" w:hAnsi="calibri" w:eastAsia="calibri" w:cs="calibri"/>
          <w:sz w:val="24"/>
          <w:szCs w:val="24"/>
        </w:rPr>
        <w:t xml:space="preserve">Elewacja Galerii Kupieckiej inspirowana jest stylem „świdermajer”, charakterystycznym dla domów letniskowych z przełomu XIX i XX wieku ulokowanych po wschodniej stronie Wisły. Wewnątrz obiektu znajdzie się przestrzeń o powierzchni 450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wykorzystywana do organizacji eventów, schody ruchome oraz windy.</w:t>
      </w:r>
    </w:p>
    <w:p>
      <w:pPr>
        <w:spacing w:before="0" w:after="300"/>
      </w:pPr>
      <w:r>
        <w:rPr>
          <w:rFonts w:ascii="calibri" w:hAnsi="calibri" w:eastAsia="calibri" w:cs="calibri"/>
          <w:sz w:val="24"/>
          <w:szCs w:val="24"/>
        </w:rPr>
        <w:t xml:space="preserve">Inwestor Galerii, spółka </w:t>
      </w:r>
      <w:r>
        <w:rPr>
          <w:rFonts w:ascii="calibri" w:hAnsi="calibri" w:eastAsia="calibri" w:cs="calibri"/>
          <w:sz w:val="24"/>
          <w:szCs w:val="24"/>
          <w:b/>
        </w:rPr>
        <w:t xml:space="preserve">WOT Invest,</w:t>
      </w:r>
      <w:r>
        <w:rPr>
          <w:rFonts w:ascii="calibri" w:hAnsi="calibri" w:eastAsia="calibri" w:cs="calibri"/>
          <w:sz w:val="24"/>
          <w:szCs w:val="24"/>
        </w:rPr>
        <w:t xml:space="preserve"> planuje otwarcie obiektu pod koniec listopada 2019 roku. Za komercjalizację projektu odpowiadają Origo Group i Patco Property. Generalnym wykonawcą obiektu jest Budimex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2026-06-17T22:11:10+02:00</dcterms:created>
  <dcterms:modified xsi:type="dcterms:W3CDTF">2026-06-17T22:11:10+02:00</dcterms:modified>
</cp:coreProperties>
</file>

<file path=docProps/custom.xml><?xml version="1.0" encoding="utf-8"?>
<Properties xmlns="http://schemas.openxmlformats.org/officeDocument/2006/custom-properties" xmlns:vt="http://schemas.openxmlformats.org/officeDocument/2006/docPropsVTypes"/>
</file>