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Rosjanie zaatakowali strony Naczelnego Sądu Administracyjnego!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z rosyjskiej grupy KillNet, łączonej z rosyjskim rządem, zaatakowali w środę (15.02.2023) serwery dwóch polskich urzędów państwowych w Poznaniu i Warszawie – poinformowali analitycy firmy Check Point Research, którzy monitorują działalność cybernetycznych grup przestępczych na terenie krajów, wspierających Ukrainę. Jednym z potwierdzonych celów ataków rosyjskich hakerów były serwery Naczelnego Sądu Administracyjnego.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informują eksperci Check Point Research hakerzy z grupy Killnet ogłosili niedawno na swoim kanale Telegram, że „ich 2-miesięczna obserwacja krajów wspierających nazizm i rusofobię” została zakończona i są gotowi do ataku hakerskiego na rządy Stanów Zjednoczonych, Wielkiej Brytanii, Litwy, Estonia, Łotwa, Rumunia, Niemcy, Polska i Ukraina. Akcję zorganizowaną akcje rozpoczął lider – KillMilk i nawoływał rosyjskich cyberprzestępców do wspólnego ataku na wybrane strony administracji państwowych.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Killnet specjalizuje się w atakach typu DDoS, które są odmianą cyberataków zaprojektowanych w celu powodowania tymczasowych zakłóceń, w działalności systemów ofiar, poprzez wysłanie dużej ilości żądań na serwery.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 znakomita większość usług dostarczana jest online, stąd zakłócenia spowodowane atakami DDoS ataki mogą być wyjątkowo szkodliwe. Celem takich akcji jest zakłócenie funkcjonowania instytucji publicznych oraz wywołanie paniki w dobrze zorganizowanym państwie. Działania grupy KillNet stanowią ostrzeżenie, że rządy państw oraz instytucji o znaczeniu strategicznych muszą istotnie zwiększyć nakłady i nadać priorytet zabezpieczeniu swoich systemów</w:t>
      </w:r>
      <w:r>
        <w:rPr>
          <w:rFonts w:ascii="calibri" w:hAnsi="calibri" w:eastAsia="calibri" w:cs="calibri"/>
          <w:sz w:val="24"/>
          <w:szCs w:val="24"/>
        </w:rPr>
        <w:t xml:space="preserve"> – komentuje ataki Wojciech Głażewski, country manager firmy Check Point Software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maju 2022 roku przedstawiciele Pełnomocnika rządu ds. Cyberbezpieczeństwa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 (CSIRT) informowali,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ostatnim czasie zwiększyła się częstotliwość ataków typu DDoS wymierzonych w instytucje i podmioty krajowe. Może to powodować utrudnienia w dostępie do usług realizowanych za pomocą strony internetowej. Ataki te nie wpływają na poufność danych przetwarzanych przez zaatakowane podmioty.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baza-wiedzy/informacje-pelnomocnika-rzadu-ds-cy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2026-11-02T15:05:39+01:00</dcterms:created>
  <dcterms:modified xsi:type="dcterms:W3CDTF">2026-11-02T15:05:39+01:00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