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Rosjanie zaatakowali strony Naczelnego Sądu Administracyjnego!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z rosyjskiej grupy KillNet, łączonej z rosyjskim rządem, zaatakowali w środę (15.02.2023) serwery dwóch polskich urzędów państwowych w Poznaniu i Warszawie – poinformowali analitycy firmy Check Point Research, którzy monitorują działalność cybernetycznych grup przestępczych na terenie krajów, wspierających Ukrainę. Jednym z potwierdzonych celów ataków rosyjskich hakerów były serwery Naczelnego Sądu Administracyjnego.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informują eksperci Check Point Research hakerzy z grupy Killnet ogłosili niedawno na swoim kanale Telegram, że „ich 2-miesięczna obserwacja krajów wspierających nazizm i rusofobię” została zakończona i są gotowi do ataku hakerskiego na rządy Stanów Zjednoczonych, Wielkiej Brytanii, Litwy, Estonia, Łotwa, Rumunia, Niemcy, Polska i Ukraina. Akcję zorganizowaną akcje rozpoczął lider – KillMilk i nawoływał rosyjskich cyberprzestępców do wspólnego ataku na wybrane strony administracji państwowych.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Killnet specjalizuje się w atakach typu DDoS, które są odmianą cyberataków zaprojektowanych w celu powodowania tymczasowych zakłóceń, w działalności systemów ofiar, poprzez wysłanie dużej ilości żądań na serwery.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Dziś znakomita większość usług dostarczana jest online, stąd zakłócenia spowodowane atakami DDoS ataki mogą być wyjątkowo szkodliwe. Celem takich akcji jest zakłócenie funkcjonowania instytucji publicznych oraz wywołanie paniki w dobrze zorganizowanym państwie. Działania grupy KillNet stanowią ostrzeżenie, że rządy państw oraz instytucji o znaczeniu strategicznych muszą istotnie zwiększyć nakłady i nadać priorytet zabezpieczeniu swoich systemów</w:t>
      </w:r>
      <w:r>
        <w:rPr>
          <w:rFonts w:ascii="calibri" w:hAnsi="calibri" w:eastAsia="calibri" w:cs="calibri"/>
          <w:sz w:val="24"/>
          <w:szCs w:val="24"/>
        </w:rPr>
        <w:t xml:space="preserve"> – komentuje ataki Wojciech Głażewski, country manager firmy Check Point Software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maju 2022 roku przedstawiciele Pełnomocnika rządu ds. Cyberbezpieczeństwa</w:t>
        </w:r>
      </w:hyperlink>
      <w:r>
        <w:rPr>
          <w:rFonts w:ascii="calibri" w:hAnsi="calibri" w:eastAsia="calibri" w:cs="calibri"/>
          <w:sz w:val="24"/>
          <w:szCs w:val="24"/>
        </w:rPr>
        <w:t xml:space="preserve"> (CSIRT) informowali,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ostatnim czasie zwiększyła się częstotliwość ataków typu DDoS wymierzonych w instytucje i podmioty krajowe. Może to powodować utrudnienia w dostępie do usług realizowanych za pomocą strony internetowej. Ataki te nie wpływają na poufność danych przetwarzanych przez zaatakowane podmioty.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baza-wiedzy/informacje-pelnomocnika-rzadu-ds-cy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2026-09-18T01:30:33+02:00</dcterms:created>
  <dcterms:modified xsi:type="dcterms:W3CDTF">2026-09-18T01:30:33+02:00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