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Finansowy zamach 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Groźba licznych procesów odszkodowawczych w Strassburgu ze strony zagranicznych funduszy Asset Management – to kolejne zagrożenie dla Polski w konsekwencji wprowadzenia nowego podatku dla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twierdzą specjaliści, w Niemczech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wprowadzając podatek od inwestycji kapitałowych, zwolniono z opodatkowania wszystkie inwestycje nabyte przed datą jego wprowadzenia.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Teraz na podstawie europejskich dyrektyw regulacyjnych UE (UCITS i ZAFI) zagraniczne firmy zarządzające aktywami, do których odpłyną polskie aktywa, będą żądać wysokich odszkodowań od polskiego rządu w Strassburgu.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również wielkie pieniądze dla międzynarodowych firm doradczych, które będą prowadzić te postępowania. W czyim interesie leży napędzanie takiej koniunktury dla zagranicznych firm </w:t>
      </w:r>
      <w:r>
        <w:rPr>
          <w:rFonts w:ascii="calibri" w:hAnsi="calibri" w:eastAsia="calibri" w:cs="calibri"/>
          <w:sz w:val="24"/>
          <w:szCs w:val="24"/>
        </w:rPr>
        <w:t xml:space="preserve">– pytają przedstawiciele polskich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nie mają jednak wątpliwości, że nowe regulacje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zaprzeczeniem haseł głoszonych przez Ministra Mateusza Morawieckiego o budowie i wzmacnianiu pozycji polskiego kapitału i inwestycji w innowacje. </w:t>
      </w:r>
      <w:r>
        <w:rPr>
          <w:rFonts w:ascii="calibri" w:hAnsi="calibri" w:eastAsia="calibri" w:cs="calibri"/>
          <w:sz w:val="24"/>
          <w:szCs w:val="24"/>
          <w:b/>
        </w:rPr>
        <w:t xml:space="preserve">Jeśli wejdą w życie w zakładanej formie, doprowadzą do zabicia polskiego rynku funduszy inwestycyjnych, wejścia zagranicznych struktur optymalizacji i przepływu aktywów polskich funduszy do europejskich centrów zarządzania aktywami i centrów optymalizacji w Luksemburgu, Malcie, Wielkiej Brytanii (zwolnienie z dochodów kapitałowych) czy nawet Niemczech (zwolnienie z CIT).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wartość aktywów FIZ (funduszy inwestycyjnych zamkniętych) i realizujących strategię FIZ specjalistycznych funduszy inwestycyjnych otwartych (SFIO) to obecnie 195 mld zł. W przypadku wprowadzenia wersji nowej ustawy, nakładającej 19-proc. podatek CIT na wszystkie FIZ, pieniądze te mogą uciec z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większości jurysdykcji fundusze inwestycyjne są podatkowo i przedmiotowo zwolnione z podatków dochodowych CIT, ponieważ zasada jest taka, że podatek jest płacony na wejściu/ umorzeniu/ sprzedaży/ wyjściu z funduszu przez jego uczestnika jako podatek dochodowy od zysków kapitałowych, zaś nigdy sam fundusz nie jest opodatkowany – są to standardowe regulacje w USA, Japonii i innych krajach</w:t>
      </w:r>
      <w:r>
        <w:rPr>
          <w:rFonts w:ascii="calibri" w:hAnsi="calibri" w:eastAsia="calibri" w:cs="calibri"/>
          <w:sz w:val="24"/>
          <w:szCs w:val="24"/>
        </w:rPr>
        <w:t xml:space="preserve"> – alarmuje Izba Zarządzających Funduszami i Aktywami ( IZFA) w swoim liście do Wicepremiera Mateusza Morawieckiego.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fundusze zarządzające aktywami mogą żądać odszkodowań idących w dziesiątki milionów Euro. To uderzy nie tylko w finanse naszego kraju lecz w wizerunek Polski jako miejsca inwestycji dla zagranicznych inwestorów. To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uderzenie w polskich inwestorów, mniejsze TFI i fundusze inwestujące w innowacje.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może stać w interesie potężnych, zagranicznych funduszy inwestycyjnych – tzw. Luksemburgów oraz firm doradczych.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2025-11-09T02:15:42+01:00</dcterms:created>
  <dcterms:modified xsi:type="dcterms:W3CDTF">2025-11-09T02:15:42+01:00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