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Dłużny SFIO w czołówce polskich funduszy dłużnych papierów skarbowych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Fundusze z ekspozycją na polski dług są jednymi z najlepiej radzących sobie w tym roku. W sytuacji nagłych zawirowań na rynkach finansowych, z jakimi mieliśmy do czynienia od początku roku, polska gospodarka, a więc i rynek długu, wyglądają obiecująco – solidny wzrost gospodarczy, utrzymujące się niskie stopy procentowe. Stąd bardzo dobre wyniki funduszu IPOPEMA Dłużny SFIO, który od początku roku zyskał 2,09%, a w czerwcu okazał się liderem rynku z pozytywnym wynikiem 0,74%.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Na bardzo dobry wynik w minionym miesiącu złożyły się w głównej mierze inwestycje w krajowe obligacje skarbowe o średnim i długim terminie do wykupu oraz inwestycje w obligacje zmiennokuponowe i indeksowane inflacją. Globalne ryzyka nie miały znaczącego wpływu na krajowy rynek papierów skarbowych, co pomogło w uzyskaniu wysokich wyników inwestycyjnych</w:t>
      </w:r>
      <w:r>
        <w:rPr>
          <w:rFonts w:ascii="calibri" w:hAnsi="calibri" w:eastAsia="calibri" w:cs="calibri"/>
          <w:sz w:val="24"/>
          <w:szCs w:val="24"/>
        </w:rPr>
        <w:t xml:space="preserve"> – potwierdza Mariusz Zaród, zarządzający funduszem.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Dłużny SFIO inwestuje głównie w Polsce, okazjonalnie w portfelu znajdują się papiery z państw Europy Środkowo-Wschodniej, jak np. Węgier, Turcji czy Rumunii. Historycznie jednak udział zagranicy nie był zbyt wysoki, a zarządzający wybierał wyłącznie papiery denominowane w twardej walucie, zabezpieczając jednocześnie ryzyko walutowe.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Stopy zwrotu IPOPEMA Dłużny SFIO od początku działalności należą do najwyższych w grupie porównawczej. Choć fundusz działa od 3 lat – do tej pory niezmiennie plasuje się w czołówce. Przez okres 36 miesięcy dał zarobić inwestorom ponad 13%. Pozytywne perspektywy potwierdza zarządzający: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perspektywie najbliższych miesięcy pozostajemy pozytywnie nastawieni na polski rynek długu. Sprzyjać temu powinna ograniczona podaż obligacji skarbowych oraz inflacja utrzymująca się stale poniżej celu NBP i to w szczycie cyklu koniunkturalnego. Polski dług wspiera bardzo dobra sytuacja budżetowa, a pierwsze podwyżki stóp procentowych możemy zobaczyć dopiero w 2020 r. Sprzyjające czynniki lokalne sprawiają, iż polski dług pozostaje relatywnie odporny na globalne czynniki ryzyka</w:t>
      </w:r>
      <w:r>
        <w:rPr>
          <w:rFonts w:ascii="calibri" w:hAnsi="calibri" w:eastAsia="calibri" w:cs="calibri"/>
          <w:sz w:val="24"/>
          <w:szCs w:val="24"/>
        </w:rPr>
        <w:t xml:space="preserve"> – mówi Mariusz Zaród.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2026-03-11T19:14:23+01:00</dcterms:created>
  <dcterms:modified xsi:type="dcterms:W3CDTF">2026-03-11T19:14:23+01:00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