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IPOPEMA Dłużny SFIO w czołówce polskich funduszy dłużnych papierów skarbowych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Fundusze z ekspozycją na polski dług są jednymi z najlepiej radzących sobie w tym roku. W sytuacji nagłych zawirowań na rynkach finansowych, z jakimi mieliśmy do czynienia od początku roku, polska gospodarka, a więc i rynek długu, wyglądają obiecująco – solidny wzrost gospodarczy, utrzymujące się niskie stopy procentowe. Stąd bardzo dobre wyniki funduszu IPOPEMA Dłużny SFIO, który od początku roku zyskał 2,09%, a w czerwcu okazał się liderem rynku z pozytywnym wynikiem 0,74%.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– Na bardzo dobry wynik w minionym miesiącu złożyły się w głównej mierze inwestycje w krajowe obligacje skarbowe o średnim i długim terminie do wykupu oraz inwestycje w obligacje zmiennokuponowe i indeksowane inflacją. Globalne ryzyka nie miały znaczącego wpływu na krajowy rynek papierów skarbowych, co pomogło w uzyskaniu wysokich wyników inwestycyjnych</w:t>
      </w:r>
      <w:r>
        <w:rPr>
          <w:rFonts w:ascii="calibri" w:hAnsi="calibri" w:eastAsia="calibri" w:cs="calibri"/>
          <w:sz w:val="24"/>
          <w:szCs w:val="24"/>
        </w:rPr>
        <w:t xml:space="preserve"> – potwierdza Mariusz Zaród, zarządzający funduszem.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IPOPEMA Dłużny SFIO inwestuje głównie w Polsce, okazjonalnie w portfelu znajdują się papiery z państw Europy Środkowo-Wschodniej, jak np. Węgier, Turcji czy Rumunii. Historycznie jednak udział zagranicy nie był zbyt wysoki, a zarządzający wybierał wyłącznie papiery denominowane w twardej walucie, zabezpieczając jednocześnie ryzyko walutowe.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Stopy zwrotu IPOPEMA Dłużny SFIO od początku działalności należą do najwyższych w grupie porównawczej. Choć fundusz działa od 3 lat – do tej pory niezmiennie plasuje się w czołówce. Przez okres 36 miesięcy dał zarobić inwestorom ponad 13%. Pozytywne perspektywy potwierdza zarządzający: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perspektywie najbliższych miesięcy pozostajemy pozytywnie nastawieni na polski rynek długu. Sprzyjać temu powinna ograniczona podaż obligacji skarbowych oraz inflacja utrzymująca się stale poniżej celu NBP i to w szczycie cyklu koniunkturalnego. Polski dług wspiera bardzo dobra sytuacja budżetowa, a pierwsze podwyżki stóp procentowych możemy zobaczyć dopiero w 2020 r. Sprzyjające czynniki lokalne sprawiają, iż polski dług pozostaje relatywnie odporny na globalne czynniki ryzyka</w:t>
      </w:r>
      <w:r>
        <w:rPr>
          <w:rFonts w:ascii="calibri" w:hAnsi="calibri" w:eastAsia="calibri" w:cs="calibri"/>
          <w:sz w:val="24"/>
          <w:szCs w:val="24"/>
        </w:rPr>
        <w:t xml:space="preserve"> – mówi Mariusz Zaród.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2026-09-18T23:40:29+02:00</dcterms:created>
  <dcterms:modified xsi:type="dcterms:W3CDTF">2026-09-18T23:40:29+02:00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