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Artnews podwaja przychody za 3 kwartały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Artnews S.A., działająca na ryku sztuki spółka notowana na Warszawskiej Giełdzie Papierów Wartościowych, której obecna działalność koncentruje się na rynku amerykańskim zwiększyła przychody w okresie 3 kwartałów br. do 25,3 mln PLN. Stanowi to wzrost o 99,7% w porównaniu do tego samego okresu w roku 2014 i jest w głównej mierze wynikiem efektu konsolidacji spółki Artnews Ltd w USA (która się rozpoczęła w maju 2014 r.), silnego wzrostu przychodów z serwisów cyfrowych i osłabienia kursu złotego w stosunku do dolara amerykańskiego, głównej waluty przychodów uzyskiwanych przez Artnews.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omawianym okresie , przy tak dużej dynamice przychodów, spółka zanotowała stratę na poziomie 8,75 mln PLN. Główną przyczyną takiej sytuacji były wysokie koszty odsetek oraz spadek wartości inwestycji Artnews w spółkę artnet.com AG. Należy podkreślić, iż działania polegające na przejęcie spółek działających w obszarze mediów poświęconych sztuce od BMP Media Holdings w połączeniu z podwyższeniem kapitału pozwoliły spółce znacznie zredukować całkowite zadłużenie o 9,33 mln PLN na dzień 31 października 2015r.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faktem jest utrzymanie przez firmę wcześniejszych deklaracji dotyczących wskaźnika EBITDA na poziomie 3 mln PLN za cały rok 2015, wyłączając istotne jednorazowe koszty samej transakcji i integracji, w tym między innymi koszty odpraw, restrukturyzacji i inne koszty z tytułu usług doradczych.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„Umocnienie pozycji lidera na rynku i zwiększenie rentowności z magazynów drukowanych w USA, poprzez wykorzystanie synergii w naszym rozszerzonym portfolio tytułów, dalsze skupienie się na globalnym rozwoju serwisów cyfrowych poprzez artnews.com, a także poszukiwanie niszowych ofert zapewniających wysoki wzrost, takich jak prowadzona w Nowym Jorku baza danych Skate’s, oraz wprowadzenie marki Interview w Polsce, z wykorzystaniem niskokosztowej infrastruktury dostępnej w Warszawie, to jedynie niektóre z kluczowych elementów strategii rozwoju na rok 2016</w:t>
      </w:r>
      <w:r>
        <w:rPr>
          <w:rFonts w:ascii="calibri" w:hAnsi="calibri" w:eastAsia="calibri" w:cs="calibri"/>
          <w:sz w:val="24"/>
          <w:szCs w:val="24"/>
        </w:rPr>
        <w:t xml:space="preserve">”, oświadczyła Izabela Depczyk, Dyrektor Generalna spółki Artnews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2026-01-19T11:22:53+01:00</dcterms:created>
  <dcterms:modified xsi:type="dcterms:W3CDTF">2026-01-19T11:22:53+01:00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