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Artnews podwaja przychody za 3 kwartały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Artnews S.A., działająca na ryku sztuki spółka notowana na Warszawskiej Giełdzie Papierów Wartościowych, której obecna działalność koncentruje się na rynku amerykańskim zwiększyła przychody w okresie 3 kwartałów br. do 25,3 mln PLN. Stanowi to wzrost o 99,7% w porównaniu do tego samego okresu w roku 2014 i jest w głównej mierze wynikiem efektu konsolidacji spółki Artnews Ltd w USA (która się rozpoczęła w maju 2014 r.), silnego wzrostu przychodów z serwisów cyfrowych i osłabienia kursu złotego w stosunku do dolara amerykańskiego, głównej waluty przychodów uzyskiwanych przez Artnews.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omawianym okresie , przy tak dużej dynamice przychodów, spółka zanotowała stratę na poziomie 8,75 mln PLN. Główną przyczyną takiej sytuacji były wysokie koszty odsetek oraz spadek wartości inwestycji Artnews w spółkę artnet.com AG. Należy podkreślić, iż działania polegające na przejęcie spółek działających w obszarze mediów poświęconych sztuce od BMP Media Holdings w połączeniu z podwyższeniem kapitału pozwoliły spółce znacznie zredukować całkowite zadłużenie o 9,33 mln PLN na dzień 31 października 2015r.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faktem jest utrzymanie przez firmę wcześniejszych deklaracji dotyczących wskaźnika EBITDA na poziomie 3 mln PLN za cały rok 2015, wyłączając istotne jednorazowe koszty samej transakcji i integracji, w tym między innymi koszty odpraw, restrukturyzacji i inne koszty z tytułu usług doradczych.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„Umocnienie pozycji lidera na rynku i zwiększenie rentowności z magazynów drukowanych w USA, poprzez wykorzystanie synergii w naszym rozszerzonym portfolio tytułów, dalsze skupienie się na globalnym rozwoju serwisów cyfrowych poprzez artnews.com, a także poszukiwanie niszowych ofert zapewniających wysoki wzrost, takich jak prowadzona w Nowym Jorku baza danych Skate’s, oraz wprowadzenie marki Interview w Polsce, z wykorzystaniem niskokosztowej infrastruktury dostępnej w Warszawie, to jedynie niektóre z kluczowych elementów strategii rozwoju na rok 2016</w:t>
      </w:r>
      <w:r>
        <w:rPr>
          <w:rFonts w:ascii="calibri" w:hAnsi="calibri" w:eastAsia="calibri" w:cs="calibri"/>
          <w:sz w:val="24"/>
          <w:szCs w:val="24"/>
        </w:rPr>
        <w:t xml:space="preserve">”, oświadczyła Izabela Depczyk, Dyrektor Generalna spółki Artnews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2026-11-04T22:05:21+01:00</dcterms:created>
  <dcterms:modified xsi:type="dcterms:W3CDTF">2026-11-04T22:05:21+01:00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