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BRNX nowym hitem sprzedażowym Polskiej Grupy Supermarketów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Grupa Supermarketów sprzedała kilkaset tysięcy puszek nowego piwa BRNX. Zaledwie po 3 miesiącach od premiery na rynku, dwie wersje nowego piwa BRNX znalazły uznanie prawie miliona klientów m.in. sieci Top Market. To wynik lepszy od oczekiwań opartych na analizach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BRNX – Browar Spiżarnia Dworska, zadebiutowała na rynku w czerwcu 2020 roku, wysokoodfermentowanym piwem w typie European Strong Lager (7,2%). Zaledwie dwa miesiące później na sklepowych półkach pojawiła się lżejsza wersja lagera o zawartości alkoholu wynoszącej 4,5%. Po zaledwie 3,5 miesiącach Polska Grupa Supermarketów przyznaje, że już teraz można mówić o sukcesie marki BRNX.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Wprowadzenie na rynek piwa BRNX możemy zaliczyć do kolejnych sukcesów Grupy na przestrzeni ostatnich lat. Obecna sprzedaż przekroczyła nasze oczekiwania i powoli zbliżamy się do celu, który założyliśmy na całe drugie półrocze 2020 roku</w:t>
      </w:r>
      <w:r>
        <w:rPr>
          <w:rFonts w:ascii="calibri" w:hAnsi="calibri" w:eastAsia="calibri" w:cs="calibri"/>
          <w:sz w:val="24"/>
          <w:szCs w:val="24"/>
        </w:rPr>
        <w:t xml:space="preserve"> – mówi Michał Sadecki, prezes Polskiej Grupy Supermarketów.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PGS zwraca uwagę, że piwo BRNX dostępne było jak do tej pory jedynie w sklepach należących do Grupy. Wyniki sprzedażowe mogą jednak zmienić ten stan rzeczy – już teraz prowadzone są rozmowy z sieciami zewnętrznymi, które byłyby zainteresowane dystrybucją BRNX-a.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Debiutowi piw towarzyszyła szeroka kampania wizerunkowa w mediach regionalnych oraz społecznościowych. Ponadto w ramach projektu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BRNX - Wykorzystaj swoją moc</w:t>
      </w:r>
      <w:r>
        <w:rPr>
          <w:rFonts w:ascii="calibri" w:hAnsi="calibri" w:eastAsia="calibri" w:cs="calibri"/>
          <w:sz w:val="24"/>
          <w:szCs w:val="24"/>
        </w:rPr>
        <w:t xml:space="preserve">, producent przygotował trasę amerykańskiego samochodu Mercury Cougar z logo marki, który odwiedzał sklepy Top Market w różnych częściach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Okazuje się, że spożycie piwa otrzymywanego ze słodu (o objętościowej mocy alkoholu 0,5 proc. i więcej) na jednego mieszkańca rośnie z roku na rok. W 2005 r. wypijaliśmy średnio 80 litrów piwa na rok. W 2019 r. było to już 100,5 l. Obecnie Polska plasuje się w pierwszej czwórce największych piwnych rynków w Europie, ustępując jedynie Czechom, Niemcom oraz Austrii.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2026-02-14T00:54:49+01:00</dcterms:created>
  <dcterms:modified xsi:type="dcterms:W3CDTF">2026-02-14T00:54:49+01:00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