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PGS: Sprzedaż alkoholu na stacjach paliw sprzeczna z ich funkcją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wskazują najnowsze dane WHO Polska znajduje się w czołówce (2 miejsce) państw o najwyższym spożyciu alkoholu w Europie! Średnio spożywamy 10,3 litrów alkoholu rocznie, w czym ustępujemy tylko Litwinom pijącym ponad 18 litrów. Zjawisko to – w ocenie Polskiej Sieci Supermarketów (PGS) jest wyjątkowo niepojące, biorąc pod uwagę ostatnie zmiany ustawodawcze i rosnące zjawisko sprzedaży alkoholu na stacjach benzynowych… Obecny kształt ustawy o zakazie handlu w niedzielę pozwoli na ewolucję stacji paliw w alternatywę dla sklepów tradycyjnych, co może jeszcze bardziej wzmóc proceder sprzedaży alkoholu!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alkoholem najgorliwiej walczą kraje bałtyckie – Litwa, Łotwa i Estonia. Kraje te głównie starają się nałożyć na alkohol wyższą akcyzę. Litwa idzie jeszcze dalej – podwyższa wiek, od którego będzie można kupić alkohol, od 20. roku życia, wprowadza ostrzeżenia na butelkach i zakaz reklam trunków. Już od kilku lat na stacjach paliw obowiązuje zakaz sprzedaży alkoholu, podobnie jak w Skandynawii, gdzie w większości sklepów można kupić jedynie lekkie trunki – poniżej 4,7%.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Polsce eksperci biją na alarm! Jesteśmy drugim krajem w Europie pod względem spożycia alkoholu (10,3 l rocznie), które jest najwyższe od… XIX wieku!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władz Polskiej Grupy Supermarketów najbardziej wrażliwymi punktami są stacje benzynowe, gdzie sprzedaż alkoholu jest sprzeczna z główną ich funkcją. PGS obawia się, że zjawisko to może w najbliższym czasie przybrać na sile za sprawą kontrowersyjnej ustawy o ograniczeniu handlu w niedziele, która nie obejmuje m.in. stacji paliw. Sytuację tę już teraz chcą wykorzystać duże sieci handlowe, planując otwarcie nowych placówek przy dworcach kolejowych oraz właśnie stacjach paliw.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PGS stacje benzynowe handlują artykułami alkoholowymi, omijając tym samym akty prawne o wychowaniu w trzeźwości oraz ograniczenia i powszechności spożycia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Takie działania i wydawanie licencji na handel stacjom benzynowym uderza w polski handel tradycyjny, a także doprowadza do popularyzowania alkoholu wśród kierowców </w:t>
      </w:r>
      <w:r>
        <w:rPr>
          <w:rFonts w:ascii="calibri" w:hAnsi="calibri" w:eastAsia="calibri" w:cs="calibri"/>
          <w:sz w:val="24"/>
          <w:szCs w:val="24"/>
        </w:rPr>
        <w:t xml:space="preserve">– wskazuje Michał Sadecki, prezes PGS.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sprzedaż alkoholu na stacjach i propagowanie trzeźwości za kółkiem, nie są sprzecznymi zjawiskami?</w:t>
      </w:r>
      <w:r>
        <w:rPr>
          <w:rFonts w:ascii="calibri" w:hAnsi="calibri" w:eastAsia="calibri" w:cs="calibri"/>
          <w:sz w:val="24"/>
          <w:szCs w:val="24"/>
        </w:rPr>
        <w:t xml:space="preserve"> – zastanawia się szef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badania naukowe, codziennie </w:t>
      </w:r>
      <w:r>
        <w:rPr>
          <w:rFonts w:ascii="calibri" w:hAnsi="calibri" w:eastAsia="calibri" w:cs="calibri"/>
          <w:sz w:val="24"/>
          <w:szCs w:val="24"/>
          <w:b/>
        </w:rPr>
        <w:t xml:space="preserve">spożycie alkoholu w ilości spożywanej przez statystycznego Polaka, zwiększa znacząco ryzyko zachorowania na raka jelita grubego</w:t>
      </w:r>
      <w:r>
        <w:rPr>
          <w:rFonts w:ascii="calibri" w:hAnsi="calibri" w:eastAsia="calibri" w:cs="calibri"/>
          <w:sz w:val="24"/>
          <w:szCs w:val="24"/>
        </w:rPr>
        <w:t xml:space="preserve"> oraz przełyku. Równie poważne są szkody związane z zachowaniem pod wpływem alkoholu - wyższa skłonność do ryzykownych zachowań oraz ograniczenie zdolności poznawczych może doprowadzić do tragedii, zwłaszcza za kierownicą samochodu. Z danych KGP wynika, że w 2016 roku uczestnicy ruchu pod wpływem alkoholu spowodowali 2295 wypadków. Wśród nich aż 1686 osób kierowało pojazdami mechanicznymi.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2026-01-03T09:50:26+01:00</dcterms:created>
  <dcterms:modified xsi:type="dcterms:W3CDTF">2026-01-03T09:50:26+01:00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