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będzie proponowała podatek 0,1% dla małych i średnich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będzie proponowała progresywną skalę podatkową w ramach konsultacji z Komitetem Stałym Rady Ministrów ze stawką 0,1% dla małych i średnich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 nas, że powołany został zespół przy Komitecie Stałym Rady Ministrów, którego zadaniem jest wypracowanie stanowiska polskich podmiotów. Wprowadzenie podatku progresywnego bez powiązania z powierzchnią uważamy za krok w dobrym kierunku. Ale warunkiem musi być stawka 0,1% dla małych i średnich podmiotów</w:t>
      </w:r>
      <w:r>
        <w:rPr>
          <w:rFonts w:ascii="calibri" w:hAnsi="calibri" w:eastAsia="calibri" w:cs="calibri"/>
          <w:sz w:val="24"/>
          <w:szCs w:val="24"/>
        </w:rPr>
        <w:t xml:space="preserve"> – podkreśla Michał Sadecki, prezes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PGS tylko szeroka skala podatku obrotowego pozwoli przeciwdziałać ekspansji zagranicznych sieci handlowych, które dysponując środkami i odpowiednim know-how potrafiły szybko podporządkować sobie rynek handlu detalicznego w Polsce. W ocenie PGS sklepy wielkopowierzchniowe w Polsce są obecnie realnie mniej obciążone podatkami niż ich mniejsi, detaliczni konkurenci.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Najmniejsze firmy powinny być zwolnione z podatku. Stawka 0,1% dla podmiotów o obrotach 100-200 mln zł pozwoli zagwarantować rozwój sektora średnich przedsiębiorstw. Największe (powyżej 5 mld zł obrotu) sieci spożywcze powinny płacić powyżej 5%</w:t>
      </w:r>
      <w:r>
        <w:rPr>
          <w:rFonts w:ascii="calibri" w:hAnsi="calibri" w:eastAsia="calibri" w:cs="calibri"/>
          <w:sz w:val="24"/>
          <w:szCs w:val="24"/>
        </w:rPr>
        <w:t xml:space="preserve"> – dodaje prezes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ocenie PGS udział podatku dochodowego w przychodach małego i średniego biznesu, zajmującego się handlem detalicznym jest ponad dwukrotnie wyższy niż w sklepach wielkopowierzchniowych.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2026-09-14T20:08:10+02:00</dcterms:created>
  <dcterms:modified xsi:type="dcterms:W3CDTF">2026-09-14T20:08:10+02:00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