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Inchcape wśród największych dealerów w Polsce. Próg 3 tys. pojazdów rocznie na horyzoncie.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Inchcape Motor Polska, obecny od 13 lat na rynku polskim, po raz drugi z rzędu znalazł się na liście TOP50 dealerów samochodowych w Polsce opracowanej przez Miesięcznik Dealer. Tegoroczna, 34 pozycja to awans o 5 miejsc w stosunku do zeszłorocznego rankingu. Co więcej, Inchcape jest jednym z dwóch dealerów w zestawieniu koncentrującym się wyłącznie na segmencie Premium.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Awans Inchcape Motor Polska o pięć pozycji (z 41 na 34 miejsce) to zasługa ponad 25% wzrostu sprzedaży sieci, co przełożyło się na 2778 sprzedanych pojazdów marek BMW oraz MINI w salonach w Warszawie, Wrocławiu oraz w działającym od trzeciego kwartału 2017 r. salonie w Poznaniu. W zeszłym roku sprzedaż Inchcape Motor Polska rosła nie tylko szybciej niż cały rynek motoryzacyjny (18%), ale również szybciej od segmentu premium.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opublikowanych przez KPMG wynika, że rynek produktów premium w Polsce wciąż rośnie, natomiast liczba rejestracji nowych samochodów marek premium przekroczyła w 2017 roku 61 tys. sztuk. Marka BMW odpowiada za blisko dwie czwarte sprzedaży modeli premium, z kolei Inchcape zbliża się do poziomu 5% wolumenu tego segmentu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Inchcape nadal myśli o możliwościach rozwoju. W drugiej połowie 2017 roku, brytyjski koncern otworzył swój oddział w Poznaniu; nie wyklucza jednak dalszej ekspansji na rynku polskim. W 2018 roku dealer otworzył własny pop-up store ulokowany w warszawskim centrum handlowym Blue City, będący największym tego typu przedsięwzięciem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perspektywie najbliższych kilku lat planujemy zwiększyć sprzedaż do poziomu 5 tysięcy sztuk nowych pojazdów rocznie</w:t>
      </w:r>
      <w:r>
        <w:rPr>
          <w:rFonts w:ascii="calibri" w:hAnsi="calibri" w:eastAsia="calibri" w:cs="calibri"/>
          <w:sz w:val="24"/>
          <w:szCs w:val="24"/>
        </w:rPr>
        <w:t xml:space="preserve"> – deklaruje Marcin Słomkowski, prezes Inchcape Motor Polska.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 naszych usług korzysta obecnie około 20 proc. użytkowników autoryzowanych serwisów marek BMW i MINI w Polsce. Jak wynika z analiz nasze regularne wzrosty wynikają m.in. z wysokiego wskaźnika zadowolenia i jakości obsługi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2026-11-03T05:38:12+01:00</dcterms:created>
  <dcterms:modified xsi:type="dcterms:W3CDTF">2026-11-03T05:38:12+01:00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