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Gotówkowy wśród najlepszych funduszy, które bezpiecznie ochronią kapitał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Gotówkowy został uznany przez ekspertów za jeden z najlepszych funduszy pieniężnych na rynku. Potwierdzają to wyniki funduszu, który w ciągu ostatnich 6 miesięcy zanotował wzrost o 0,87% w porównaniu do średniej dla grupy 0,18%. Obecnie fundusz zarządza aktywami na poziomie przekraczającym 300 mln zł i plasuje się w ścisłej czołówce wśród funduszy rynku pieniężnego w okresie 6 i 12 miesięcy z wynikiem 2,76 proc. (stopa zwrotu za 12M).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Fundusze gotówkowe i pieniężne to w ostatnich miesiącach ulubiona kategoria klientów TFI. </w:t>
      </w:r>
      <w:r>
        <w:rPr>
          <w:rFonts w:ascii="calibri" w:hAnsi="calibri" w:eastAsia="calibri" w:cs="calibri"/>
          <w:sz w:val="24"/>
          <w:szCs w:val="24"/>
        </w:rPr>
        <w:t xml:space="preserve">Mocny trend napływowy rozpoczął się w listopadzie 2017 roku, gdy trafiło do nich o 1,35 mld zł więcej niż z nich wypłynęło*. Od tego czasu trend ten utrzymuje się, a saldo wpływów do tego rodzaju funduszy jest znacznie wyższe niż dla funduszy dłużnych.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cechą funduszu gotówkowego jest niskie ryzyko. Aktywa funduszu lokowane są w denominowane w walucie polskiej instrumenty rynku pieniężnego, obligacje skarbowe oraz depozyty o terminie zapadalności nie dłuższym niż rok płatne na żądanie lub które można wycofać przed terminem zapadalności, w bankach krajowych, instytucjach kredytowych o wysokim stopniu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Gotówkowy skierowany jest do inwestorów zarówno indywidualnych, jak i przedsiębiorstw o najmniejszej skłonności do ryzyka, oczekujących wysokiej płynności, niskiej zmienności wycen jednostek uczestnictwa oraz rentowności niewiele przekraczających krótkoterminowe depozyty.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Fundusz pieniężny nie jest wehikułem do zarabiania, lecz ochrony kapitału, umożliwiającym osiągnięcie nieco większych odsetek niż na lokacie, przy zachowaniu płynności </w:t>
      </w:r>
      <w:r>
        <w:rPr>
          <w:rFonts w:ascii="calibri" w:hAnsi="calibri" w:eastAsia="calibri" w:cs="calibri"/>
          <w:sz w:val="24"/>
          <w:szCs w:val="24"/>
        </w:rPr>
        <w:t xml:space="preserve">– podkreśla Bogusław Stefaniak, zarządzający funduszem.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*Dane za Analizy Online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2026-02-23T11:56:04+01:00</dcterms:created>
  <dcterms:modified xsi:type="dcterms:W3CDTF">2026-02-23T11:56:04+01:00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