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Wiek i Płeć nie powinny stanowić ograniczeń. Inkluzywność pracodawcy popłaca.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Pracownicy oczekują partnerstwa i szacunku dla różnorodności, niezależnie od wieku i płci – wynika z najnowszego badania przeprowadzonego przez Randstad we współpracy z Instytutem Badań Pollster. Różnorodność to bardzo ważny temat dla 63 proc. badanych.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Wyniki analizy wskazują, że poziom akceptacji różnorodności jest w Polsce wysoki, ale w wybranych sferach.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Większość badanych potwierdza, że w ich firmie wszyscy są̨ traktowani tak samo, bez względu na wyznanie (75 proc.), narodowość (74 proc.), płeć (74 proc.), czy kolor skóry (73 proc.).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większości zatrudnionych (</w:t>
      </w:r>
      <w:r>
        <w:rPr>
          <w:rFonts w:ascii="calibri" w:hAnsi="calibri" w:eastAsia="calibri" w:cs="calibri"/>
          <w:sz w:val="24"/>
          <w:szCs w:val="24"/>
          <w:b/>
        </w:rPr>
        <w:t xml:space="preserve">63 proc.) różnorodność jest istotna lub bardzo istotna.</w:t>
      </w:r>
      <w:r>
        <w:rPr>
          <w:rFonts w:ascii="calibri" w:hAnsi="calibri" w:eastAsia="calibri" w:cs="calibri"/>
          <w:sz w:val="24"/>
          <w:szCs w:val="24"/>
        </w:rPr>
        <w:t xml:space="preserve"> Oczekują, że pracodawcy będą bardziej aktywnie promować partnerstwo w miejscu pracy. Nierówności są bowiem nadal dostrzegane w sferze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wieku (14 proc.), płci (12 proc.) oraz podejścia do niepełnosprawności (10 proc.)</w:t>
      </w:r>
      <w:r>
        <w:rPr>
          <w:rFonts w:ascii="calibri" w:hAnsi="calibri" w:eastAsia="calibri" w:cs="calibri"/>
          <w:sz w:val="24"/>
          <w:szCs w:val="24"/>
          <w:b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Który element inkluzywności jest dla pracowników najważniejszy: w pierwszej kolejności płeć (58 proc.) oraz wiek (56 proc.).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Akceptacja różnorodności jest dla pracowników szczególnie istotna, a inkluzywne środowisko pracy staje się standardem. To czynnik, od którego może zależeć sukces firmy w dłuższej perspektywie. Poprzez lepsze zrozumienie tego jak ewoluuje środowisko pracy oraz jak zmieniają się akcenty w oczekiwaniach rożnych generacji pracowników, możemy jako pracodawca lepiej określić swoją strategię w tym obszarze’’ – </w:t>
      </w:r>
      <w:r>
        <w:rPr>
          <w:rFonts w:ascii="calibri" w:hAnsi="calibri" w:eastAsia="calibri" w:cs="calibri"/>
          <w:sz w:val="24"/>
          <w:szCs w:val="24"/>
        </w:rPr>
        <w:t xml:space="preserve">uważa Filip</w:t>
      </w:r>
      <w:r>
        <w:rPr>
          <w:rFonts w:ascii="calibri" w:hAnsi="calibri" w:eastAsia="calibri" w:cs="calibri"/>
          <w:sz w:val="24"/>
          <w:szCs w:val="24"/>
        </w:rPr>
        <w:t xml:space="preserve">Popławski, dyrektor generalny firmy Brown-Forman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 polscy przedsiębiorcy są gotowi na taką rewolucję?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Obowiązek wprowadzania zmian w zakresie inwestycji w politykę różnorodności, równości i włączenia (DEI) w ramach dyrektyw UE to jeden z kluczowych elementów presji na polskie firmy. Inny, to chęć zadbania o dobry wizerunek firmy jako pracodawcy.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Randstad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kwiecień 2023)</w:t>
      </w:r>
      <w:r>
        <w:rPr>
          <w:rFonts w:ascii="calibri" w:hAnsi="calibri" w:eastAsia="calibri" w:cs="calibri"/>
          <w:sz w:val="24"/>
          <w:szCs w:val="24"/>
        </w:rPr>
        <w:t xml:space="preserve"> potwierdza, iż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umiejętność zarządzania różnorodnością w środowisku pracy ma coraz większe znaczenie</w:t>
      </w:r>
      <w:r>
        <w:rPr>
          <w:rFonts w:ascii="calibri" w:hAnsi="calibri" w:eastAsia="calibri" w:cs="calibri"/>
          <w:sz w:val="24"/>
          <w:szCs w:val="24"/>
          <w:b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Dla pracodawcy to istotny element budowanie polityki Employer Brandingu i pozyskiwania kandydatów do pracy.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Pracodawcy, dla których różnorodność jest wartością, mogą wymagać od swoich pracowników w firmie poszanowania różnorodności. Firmy te powinny przestrzegać zasady równego traktowania i niedyskryminacji</w:t>
      </w:r>
      <w:r>
        <w:rPr>
          <w:rFonts w:ascii="calibri" w:hAnsi="calibri" w:eastAsia="calibri" w:cs="calibri"/>
          <w:sz w:val="24"/>
          <w:szCs w:val="24"/>
        </w:rPr>
        <w:t xml:space="preserve"> – uważa dr Iwona Jaroszewska-Ignatowska, ekspert prawa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Jednocześnie pracownicy domagają się namacalnych działań firm w zakresie Diversity, Equity, Inclusion (DEI).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obliczu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rywalizacji o najlepsze talenty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firmy nie mogą zaniechać tych działań, ponieważ istnieje prawdopodobieństwo, że pracownicy zagłosują nogami</w:t>
      </w:r>
      <w:r>
        <w:rPr>
          <w:rFonts w:ascii="calibri" w:hAnsi="calibri" w:eastAsia="calibri" w:cs="calibri"/>
          <w:sz w:val="24"/>
          <w:szCs w:val="24"/>
        </w:rPr>
        <w:t xml:space="preserve"> – uważa Nadach Musungu, z firmy Kantar. Do krajów, które najbardziej sprzyjają integracji różnych grup społecznych w miejscu pracy należą Holandia, Niemcy, Meksyk, Hiszpania, Kanada.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  <w:i/>
          <w:iCs/>
        </w:rPr>
        <w:t xml:space="preserve">* Kantar</w:t>
      </w:r>
      <w:r>
        <w:rPr>
          <w:rFonts w:ascii="calibri" w:hAnsi="calibri" w:eastAsia="calibri" w:cs="calibri"/>
          <w:sz w:val="28"/>
          <w:szCs w:val="28"/>
          <w:b/>
          <w:i/>
          <w:iCs/>
        </w:rPr>
        <w:t xml:space="preserve"> </w:t>
      </w:r>
      <w:r>
        <w:rPr>
          <w:rFonts w:ascii="calibri" w:hAnsi="calibri" w:eastAsia="calibri" w:cs="calibri"/>
          <w:sz w:val="28"/>
          <w:szCs w:val="28"/>
          <w:b/>
          <w:i/>
          <w:iCs/>
        </w:rPr>
        <w:t xml:space="preserve">Inclusion Index 2022</w:t>
      </w:r>
      <w:r>
        <w:rPr>
          <w:rFonts w:ascii="calibri" w:hAnsi="calibri" w:eastAsia="calibri" w:cs="calibri"/>
          <w:sz w:val="28"/>
          <w:szCs w:val="28"/>
          <w:b/>
          <w:i/>
          <w:iCs/>
        </w:rPr>
        <w:t xml:space="preserve"> </w:t>
      </w:r>
      <w:r>
        <w:rPr>
          <w:rFonts w:ascii="calibri" w:hAnsi="calibri" w:eastAsia="calibri" w:cs="calibri"/>
          <w:sz w:val="28"/>
          <w:szCs w:val="28"/>
          <w:b/>
          <w:i/>
          <w:iCs/>
        </w:rPr>
        <w:t xml:space="preserve">opiera się na wynikach badania ilościowego bazującego na odpowiedziach uzyskanych od 13</w:t>
      </w:r>
      <w:r>
        <w:rPr>
          <w:rFonts w:ascii="calibri" w:hAnsi="calibri" w:eastAsia="calibri" w:cs="calibri"/>
          <w:sz w:val="28"/>
          <w:szCs w:val="28"/>
          <w:b/>
          <w:i/>
          <w:iCs/>
        </w:rPr>
        <w:t xml:space="preserve"> </w:t>
      </w:r>
      <w:r>
        <w:rPr>
          <w:rFonts w:ascii="calibri" w:hAnsi="calibri" w:eastAsia="calibri" w:cs="calibri"/>
          <w:sz w:val="28"/>
          <w:szCs w:val="28"/>
          <w:b/>
          <w:i/>
          <w:iCs/>
        </w:rPr>
        <w:t xml:space="preserve">tys. osób w wieku 16 lat i więcej z 13 rynków (Australia, Brazylia, Kanada, Niemcy, Hiszpania, Francja, Wielka Brytania, Indie, Włochy, Japonia, Meksyk, Holandia, USA) i 24 branż (wielkość próby różni się w zależności od branży), w którym badano i porównywano doświadczenia pracowników w zakresie integracji w miejscu pracy.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  <w:i/>
          <w:iCs/>
        </w:rPr>
        <w:t xml:space="preserve"> </w:t>
      </w:r>
      <w:r>
        <w:rPr>
          <w:rFonts w:ascii="calibri" w:hAnsi="calibri" w:eastAsia="calibri" w:cs="calibri"/>
          <w:sz w:val="28"/>
          <w:szCs w:val="28"/>
          <w:b/>
          <w:i/>
          <w:iCs/>
        </w:rPr>
        <w:t xml:space="preserve">https://info.randstad.pl/24748/lp/i/monitor-rynku-pracy-51?&amp;referral_domain=www.google.comNaNhttps://www.google.com/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2026-09-28T23:24:34+02:00</dcterms:created>
  <dcterms:modified xsi:type="dcterms:W3CDTF">2026-09-28T23:24:34+02:00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