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fala ataków hakerskich V generacji. 97% firm nie jest przygotowanych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najbliższym czasie cyberprzestępcy zmienią formę ataków sieciowych. Wielowektorowe kampanie, rozprzestrzeniające się bardzo szybko i na ogromną skalę to nowa fala ataków V generacji. Z badań firmy Check Point wynika, że 97% organizacji nie jest przygotowana do zabezpieczenia danych przed takimi działaniami hakerów, ponieważ korzystają ze starych systemów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regionie EMEA dynamika ataków ransomware podwoiła się z 28% w 2016 do 48% w 2017 roku. 20% firm padło ofiarą Fireballa, który na całym świecie zainfekował 250 milionów komputerów. Obecnie 59% firm na świecie najbardziej obawia się właśnie ataków ransomware </w:t>
      </w:r>
      <w:r>
        <w:rPr>
          <w:rFonts w:ascii="calibri" w:hAnsi="calibri" w:eastAsia="calibri" w:cs="calibri"/>
          <w:sz w:val="24"/>
          <w:szCs w:val="24"/>
        </w:rPr>
        <w:t xml:space="preserve">– wynika z najnowszych analiz Security Report 2018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2018 analizuje nowoczesne zagrożenia w różnych branżach, między innymi opieki zdrowotnej, wytwórczej i administracyjnej. Z raportu ponadto wynika, iż ponad 300 mobilnych aplikacji z popularnego Google Play zostało zarażone złośliwym oprogramowaniem, które pobrane zostało przez 106 milionów użytkowników na świecie. Co więcej, w 2017 roku praktycznie wszystkie (100%) urządzenia mobilne padły ofiarą ataków malware, natomiast coraz popularniejsze staje się również wykorzystanie cryptominerów, czyli nielegalnych koparek kryptowalut. Aby naprawić skutki ataków i przywrócić systemy do działalności operacyjnej firmy musiały poświęcić od 2 tygodni w skali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77% menedżerów ds. bezpieczeństwa potwierdziło, że nie są odpowiednio przygotowani na odparcie tych nowoczesnych ataków (V generacji – przyp. red.), gdyż infrastruktury bezpieczeństwa ogromnej większości organizacji są przestarzałe</w:t>
      </w:r>
      <w:r>
        <w:rPr>
          <w:rFonts w:ascii="calibri" w:hAnsi="calibri" w:eastAsia="calibri" w:cs="calibri"/>
          <w:sz w:val="24"/>
          <w:szCs w:val="24"/>
        </w:rPr>
        <w:t xml:space="preserve"> - podkreśla Peter Alexander, kierownik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zwracają uwagę na zagrożenie takich sektorów jak bankowość, handel i produkcja. W 2017 roku ponad 30% firm handlowych padło ofiarą ataków, w konsekwencji 20% klientów nie chciała ponownie skorzystać z usług ich oferty. W tym samym czasie 82% firm produkcyjnych i 32% instytucji rządowych utraciło dane w wyniku działań cyberprzestępców. Skala zagrożeń jest zatem ogromna – biją na alarm autorzy Security Report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prezentuje czytelny przegląd aktualnej sytuacji cyberbezpieczeństwa na świecie, w którym ataki V generacji stają się coraz częstsze</w:t>
      </w:r>
      <w:r>
        <w:rPr>
          <w:rFonts w:ascii="calibri" w:hAnsi="calibri" w:eastAsia="calibri" w:cs="calibri"/>
          <w:sz w:val="24"/>
          <w:szCs w:val="24"/>
        </w:rPr>
        <w:t xml:space="preserve"> - twierdzi Doug Cahill, dyrektor grupy i starszy analityk bezpieczeństwa internetowego w firmie Enterprise Strategy Group zajmującej się analizą rynku.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publiczna czy prywatna organizacja nie jest odporna; szpitale, zarządy miast i globalne korporacje są zagrożone, lecz 97% z nich nie jest odpowiednio wyposażona, by poradzić sobie z atakami V generacji, musi się to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2026-03-23T10:23:28+01:00</dcterms:created>
  <dcterms:modified xsi:type="dcterms:W3CDTF">2026-03-23T10:23:28+01:00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