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Szustkowski pozywa autora i wydawcę książki ‘’Macierewicz i jego tajemnice’’ i żąda odszkodowania w wysokości 100.000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Szustkowski, polski inwestor na stałe mieszkający w Szwajcarii, złożył w Sądzie Okręgowym w Warszawie w dniu 08.09.2017 oficjalny ‘’Pozew o ochronę dóbr osobistych’’.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z realizacji sportowych projektów polski inwestor skarży Tomasza Piątka oraz wydawnictwo "Arbitror sp. z o.o." (autora i wydawcę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Macierewicz i jego tajemnice</w:t>
      </w:r>
      <w:r>
        <w:rPr>
          <w:rFonts w:ascii="calibri" w:hAnsi="calibri" w:eastAsia="calibri" w:cs="calibri"/>
          <w:sz w:val="24"/>
          <w:szCs w:val="24"/>
        </w:rPr>
        <w:t xml:space="preserve">) o podawanie nieprawdziwych informacji o rzekomych związkach z międzynarodowym handlem bronią. Szustkowski dowodzi, że są one nieprawdziwe i szkalują jego dobre imię.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Robert Szustkowski domaga się od pozwanych zapłaty kwoty 100.000 zł‚ na cele charytatywne oraz przeprosin w wielu mediach za naruszenie jego dóbr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2026-03-20T17:50:43+01:00</dcterms:created>
  <dcterms:modified xsi:type="dcterms:W3CDTF">2026-03-20T17:50:43+01:00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