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Invista SA wśród spółek w indeksie Investor MS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Invista SA znalazła się wśród 10 spółek rekomendowanych w ramach indeksu Investor MS. Przeprowadzona 08.04.2022 rewizja kwartalna portfela indeksu Investor MS, wprowadziła do indeksu walory spółek z Głównego Rynku GPW, które spełniają kryteria indeksu.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Invista SA wzbudziła zainteresowanie rynku w grudniu 2021 roku, po tym jak ogłosiła realizację strategii opartej na 3 filarach: rynku nieruchomości, wykorzystaniu potencjału rynku energetyki i elektromobilności w Polsce i inwestycjach w nowe technologie. 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Obecność w gronie 10 nowych spółek indeksu Investor MS to bardzo ważny sygnał i zobowiązanie dla naszej firmy, która w 2022 roku konsekwentnie realizuje założenia nowej strategii </w:t>
      </w:r>
      <w:r>
        <w:rPr>
          <w:rFonts w:ascii="calibri" w:hAnsi="calibri" w:eastAsia="calibri" w:cs="calibri"/>
          <w:sz w:val="24"/>
          <w:szCs w:val="24"/>
        </w:rPr>
        <w:t xml:space="preserve">– podkreśla Michał Gabrylewicz, prezes Insita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Teraz spółka została zauważona i zaliczona do grona 10 nowych podmiotów w ramach rewizji kwartalnej indeksu Investor MS. Obok Invista SA znalazły się AtlantaPL, Biomaxima, Brand24, Groclin, K2Holding, MostalPLC, Spyrosoft, STSHolding, Talex. Jednocześnie indeks opuściły spółki: Airway, Gameops, HMInwest, INC, KSGargo.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GPW Benchmark poinformował, że w ramach indeksu ograniczone zostały udziały spółek KETY oraz KRUK do 5 proc., a liczba spółek w portfelu indeksu będzie wynosić 254.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Wskaźnik Investor MS to dawny indeks DWS MS, który mierzy zachowanie kursów akcji małych i średnich spółek. Mechanizm jego działania został opracowany na początku marca 2003 roku wspólnie przez warszawską giełdę i ówczesne Towarzystwo Funduszy DWS Polska (obecnie Investors TFI). Zmiana nazwy indeksu nastąpiła w marcu 2011 roku. Obecnie podstawą do obliczania tego wskaźnika są papiery małych i średnich firm z obszaru inwestycji funduszu Investor Top 25 Małych Spółek FIO.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Skład indeksu jest weryfikowany w zależności od liczby papierów spółek w wolnym obrocie (tzw. free float), ale także kondycji i perspektyw rozwoju poszczególnych firm.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PAP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iznes.pap.pl/pl/news/all/info/3261840,gpw-benchmark:-communique---invest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2024-04-25T22:38:31+02:00</dcterms:created>
  <dcterms:modified xsi:type="dcterms:W3CDTF">2024-04-25T22:38:31+02:00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