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wśród największych dealerów w Polsce. Próg 3 tys. pojazdów rocznie na horyzoncie.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Inchcape Motor Polska, obecny od 13 lat na rynku polskim, po raz drugi z rzędu znalazł się na liście TOP50 dealerów samochodowych w Polsce opracowanej przez Miesięcznik Dealer. Tegoroczna, 34 pozycja to awans o 5 miejsc w stosunku do zeszłorocznego rankingu. Co więcej, Inchcape jest jednym z dwóch dealerów w zestawieniu koncentrującym się wyłącznie na segmencie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Awans Inchcape Motor Polska o pięć pozycji (z 41 na 34 miejsce) to zasługa ponad 25% wzrostu sprzedaży sieci, co przełożyło się na 2778 sprzedanych pojazdów marek BMW oraz MINI w salonach w Warszawie, Wrocławiu oraz w działającym od trzeciego kwartału 2017 r. salonie w Poznaniu. W zeszłym roku sprzedaż Inchcape Motor Polska rosła nie tylko szybciej niż cały rynek motoryzacyjny (18%), ale również szybciej od segmentu premium.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opublikowanych przez KPMG wynika, że rynek produktów premium w Polsce wciąż rośnie, natomiast liczba rejestracji nowych samochodów marek premium przekroczyła w 2017 roku 61 tys. sztuk. Marka BMW odpowiada za blisko dwie czwarte sprzedaży modeli premium, z kolei Inchcape zbliża się do poziomu 5% wolumenu tego segmentu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Inchcape nadal myśli o możliwościach rozwoju. W drugiej połowie 2017 roku, brytyjski koncern otworzył swój oddział w Poznaniu; nie wyklucza jednak dalszej ekspansji na rynku polskim. W 2018 roku dealer otworzył własny pop-up store ulokowany w warszawskim centrum handlowym Blue City, będący największym tego typu przedsięwzięciem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perspektywie najbliższych kilku lat planujemy zwiększyć sprzedaż do poziomu 5 tysięcy sztuk nowych pojazdów rocznie</w:t>
      </w:r>
      <w:r>
        <w:rPr>
          <w:rFonts w:ascii="calibri" w:hAnsi="calibri" w:eastAsia="calibri" w:cs="calibri"/>
          <w:sz w:val="24"/>
          <w:szCs w:val="24"/>
        </w:rPr>
        <w:t xml:space="preserve"> – deklaruje Marcin Słomkowski, prezes Inchcape Motor Polska.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Z naszych usług korzysta obecnie około 20 proc. użytkowników autoryzowanych serwisów marek BMW i MINI w Polsce. Jak wynika z analiz nasze regularne wzrosty wynikają m.in. z wysokiego wskaźnika zadowolenia i jakości obsługi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2024-05-01T21:31:02+02:00</dcterms:created>
  <dcterms:modified xsi:type="dcterms:W3CDTF">2024-05-01T21:31:02+02:00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